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45" w:rsidRDefault="00F23D45" w:rsidP="00F23D45">
      <w:pPr>
        <w:jc w:val="both"/>
        <w:rPr>
          <w:rFonts w:ascii="Times New Roman" w:hAnsi="Times New Roman"/>
          <w:b/>
          <w:sz w:val="26"/>
          <w:szCs w:val="26"/>
        </w:rPr>
      </w:pPr>
      <w:r w:rsidRPr="00B372E0">
        <w:rPr>
          <w:rFonts w:ascii="Times New Roman" w:hAnsi="Times New Roman"/>
          <w:b/>
          <w:sz w:val="26"/>
          <w:szCs w:val="26"/>
        </w:rPr>
        <w:t xml:space="preserve">Контроль в сфере размещения заказов </w:t>
      </w:r>
      <w:r>
        <w:rPr>
          <w:rFonts w:ascii="Times New Roman" w:hAnsi="Times New Roman"/>
          <w:b/>
          <w:sz w:val="26"/>
          <w:szCs w:val="26"/>
        </w:rPr>
        <w:t xml:space="preserve">в 2013 году </w:t>
      </w:r>
      <w:r w:rsidRPr="00B372E0">
        <w:rPr>
          <w:rFonts w:ascii="Times New Roman" w:hAnsi="Times New Roman"/>
          <w:b/>
          <w:sz w:val="26"/>
          <w:szCs w:val="26"/>
        </w:rPr>
        <w:t>(Федеральный закон от 21.07.2005 № 94-ФЗ «О размещении заказов на поставки товаров, выполнение работ, оказание услуг для государственных и муниципальных нужд»)</w:t>
      </w:r>
    </w:p>
    <w:p w:rsidR="00F23D45" w:rsidRDefault="00F23D45" w:rsidP="00F23D45">
      <w:pPr>
        <w:jc w:val="center"/>
        <w:rPr>
          <w:rFonts w:ascii="Times New Roman" w:hAnsi="Times New Roman"/>
          <w:b/>
          <w:sz w:val="26"/>
          <w:szCs w:val="26"/>
        </w:rPr>
      </w:pPr>
      <w:r w:rsidRPr="00B372E0">
        <w:rPr>
          <w:rFonts w:ascii="Times New Roman" w:hAnsi="Times New Roman"/>
          <w:b/>
          <w:sz w:val="26"/>
          <w:szCs w:val="26"/>
        </w:rPr>
        <w:t>1</w:t>
      </w:r>
      <w:r>
        <w:rPr>
          <w:rFonts w:ascii="Times New Roman" w:hAnsi="Times New Roman"/>
          <w:b/>
          <w:sz w:val="26"/>
          <w:szCs w:val="26"/>
        </w:rPr>
        <w:t>.</w:t>
      </w:r>
      <w:r w:rsidRPr="00B372E0">
        <w:rPr>
          <w:rFonts w:ascii="Times New Roman" w:hAnsi="Times New Roman"/>
          <w:b/>
          <w:sz w:val="26"/>
          <w:szCs w:val="26"/>
        </w:rPr>
        <w:t xml:space="preserve"> Работа территориального органа  по рассмотрению</w:t>
      </w:r>
      <w:r>
        <w:rPr>
          <w:rFonts w:ascii="Times New Roman" w:hAnsi="Times New Roman"/>
          <w:b/>
          <w:sz w:val="26"/>
          <w:szCs w:val="26"/>
        </w:rPr>
        <w:t xml:space="preserve">                                         </w:t>
      </w:r>
      <w:r w:rsidRPr="00B372E0">
        <w:rPr>
          <w:rFonts w:ascii="Times New Roman" w:hAnsi="Times New Roman"/>
          <w:b/>
          <w:sz w:val="26"/>
          <w:szCs w:val="26"/>
        </w:rPr>
        <w:t xml:space="preserve"> жалоб</w:t>
      </w:r>
      <w:r>
        <w:rPr>
          <w:rFonts w:ascii="Times New Roman" w:hAnsi="Times New Roman"/>
          <w:b/>
          <w:sz w:val="26"/>
          <w:szCs w:val="26"/>
        </w:rPr>
        <w:t xml:space="preserve"> </w:t>
      </w:r>
      <w:r w:rsidRPr="00B372E0">
        <w:rPr>
          <w:rFonts w:ascii="Times New Roman" w:hAnsi="Times New Roman"/>
          <w:b/>
          <w:sz w:val="26"/>
          <w:szCs w:val="26"/>
        </w:rPr>
        <w:t>участников размещения заказов</w:t>
      </w:r>
    </w:p>
    <w:p w:rsidR="00F23D45" w:rsidRDefault="00F23D45" w:rsidP="00F23D45">
      <w:pPr>
        <w:ind w:firstLine="708"/>
        <w:jc w:val="both"/>
        <w:rPr>
          <w:rFonts w:ascii="Times New Roman" w:hAnsi="Times New Roman"/>
          <w:sz w:val="26"/>
          <w:szCs w:val="26"/>
        </w:rPr>
      </w:pPr>
      <w:r>
        <w:rPr>
          <w:rFonts w:ascii="Times New Roman" w:hAnsi="Times New Roman"/>
          <w:sz w:val="26"/>
          <w:szCs w:val="26"/>
        </w:rPr>
        <w:t>В отчетном периоде 2013 года в Управление Федеральной антимонопольной службы поступило 323 жалобы участников размещения заказа на действия (бездействие) заказчика, уполномоченного органа, специализированной организации, конкурсной, аукционной либо котировочной комиссии при размещении заказов на поставки товаров, выполнение работ, оказание услуг для государственных и муниципальных нужд, в том числе:</w:t>
      </w:r>
    </w:p>
    <w:p w:rsidR="00F23D45" w:rsidRDefault="00F23D45" w:rsidP="00F23D45">
      <w:pPr>
        <w:jc w:val="both"/>
        <w:rPr>
          <w:rFonts w:ascii="Times New Roman" w:hAnsi="Times New Roman"/>
          <w:sz w:val="26"/>
          <w:szCs w:val="26"/>
        </w:rPr>
      </w:pPr>
      <w:r>
        <w:rPr>
          <w:rFonts w:ascii="Times New Roman" w:hAnsi="Times New Roman"/>
          <w:sz w:val="26"/>
          <w:szCs w:val="26"/>
        </w:rPr>
        <w:t>- 42 для федеральных нужд,</w:t>
      </w:r>
    </w:p>
    <w:p w:rsidR="00F23D45" w:rsidRDefault="00F23D45" w:rsidP="00F23D45">
      <w:pPr>
        <w:jc w:val="both"/>
        <w:rPr>
          <w:rFonts w:ascii="Times New Roman" w:hAnsi="Times New Roman"/>
          <w:sz w:val="26"/>
          <w:szCs w:val="26"/>
        </w:rPr>
      </w:pPr>
      <w:r>
        <w:rPr>
          <w:rFonts w:ascii="Times New Roman" w:hAnsi="Times New Roman"/>
          <w:sz w:val="26"/>
          <w:szCs w:val="26"/>
        </w:rPr>
        <w:t>- 192 для региональных нужд,</w:t>
      </w:r>
    </w:p>
    <w:p w:rsidR="00F23D45" w:rsidRDefault="00F23D45" w:rsidP="00F23D45">
      <w:pPr>
        <w:jc w:val="both"/>
        <w:rPr>
          <w:rFonts w:ascii="Times New Roman" w:hAnsi="Times New Roman"/>
          <w:sz w:val="26"/>
          <w:szCs w:val="26"/>
        </w:rPr>
      </w:pPr>
      <w:r>
        <w:rPr>
          <w:rFonts w:ascii="Times New Roman" w:hAnsi="Times New Roman"/>
          <w:sz w:val="26"/>
          <w:szCs w:val="26"/>
        </w:rPr>
        <w:t>- 89 для муниципальных нужд</w:t>
      </w:r>
    </w:p>
    <w:p w:rsidR="00F23D45" w:rsidRDefault="00F23D45" w:rsidP="00F23D45">
      <w:pPr>
        <w:jc w:val="both"/>
        <w:rPr>
          <w:rFonts w:ascii="Times New Roman" w:hAnsi="Times New Roman"/>
          <w:sz w:val="26"/>
          <w:szCs w:val="26"/>
        </w:rPr>
      </w:pPr>
      <w:r>
        <w:rPr>
          <w:rFonts w:ascii="Times New Roman" w:hAnsi="Times New Roman"/>
          <w:sz w:val="26"/>
          <w:szCs w:val="26"/>
        </w:rPr>
        <w:t xml:space="preserve">из которых было рассмотрено в порядке статьи 60 Федерального закона от 21.07.2005 № 94-ФЗ 231 жалоба; </w:t>
      </w:r>
      <w:proofErr w:type="gramStart"/>
      <w:r>
        <w:rPr>
          <w:rFonts w:ascii="Times New Roman" w:hAnsi="Times New Roman"/>
          <w:sz w:val="26"/>
          <w:szCs w:val="26"/>
        </w:rPr>
        <w:t>обоснованными</w:t>
      </w:r>
      <w:proofErr w:type="gramEnd"/>
      <w:r>
        <w:rPr>
          <w:rFonts w:ascii="Times New Roman" w:hAnsi="Times New Roman"/>
          <w:sz w:val="26"/>
          <w:szCs w:val="26"/>
        </w:rPr>
        <w:t xml:space="preserve"> признано 47 жалоб, необоснованными признано 184 жалобы. Отозвано заявителем 28 жалоб; возвращено в порядке статьи 59 Федерального закона от 21.07.2005 № 94-ФЗ                   64 жалобы.</w:t>
      </w:r>
    </w:p>
    <w:p w:rsidR="00F23D45" w:rsidRDefault="00F23D45" w:rsidP="00F23D45">
      <w:pPr>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В количественном соотношении с 2012 годом:</w:t>
      </w:r>
    </w:p>
    <w:p w:rsidR="00F23D45" w:rsidRDefault="00F23D45" w:rsidP="00F23D45">
      <w:pPr>
        <w:jc w:val="both"/>
        <w:rPr>
          <w:rFonts w:ascii="Times New Roman" w:hAnsi="Times New Roman"/>
          <w:sz w:val="26"/>
          <w:szCs w:val="26"/>
        </w:rPr>
      </w:pPr>
      <w:r>
        <w:rPr>
          <w:rFonts w:ascii="Times New Roman" w:hAnsi="Times New Roman"/>
          <w:noProof/>
          <w:sz w:val="26"/>
          <w:szCs w:val="26"/>
          <w:lang w:eastAsia="ru-RU"/>
        </w:rPr>
        <w:drawing>
          <wp:inline distT="0" distB="0" distL="0" distR="0">
            <wp:extent cx="5895975" cy="20764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F23D45" w:rsidRDefault="00F23D45" w:rsidP="00F23D45">
      <w:pPr>
        <w:ind w:firstLine="708"/>
        <w:jc w:val="both"/>
        <w:rPr>
          <w:rFonts w:ascii="Times New Roman" w:hAnsi="Times New Roman"/>
          <w:sz w:val="26"/>
          <w:szCs w:val="26"/>
        </w:rPr>
      </w:pPr>
      <w:r>
        <w:rPr>
          <w:rFonts w:ascii="Times New Roman" w:hAnsi="Times New Roman"/>
          <w:sz w:val="26"/>
          <w:szCs w:val="26"/>
        </w:rPr>
        <w:t xml:space="preserve">Выявлено 161 нарушение законодательства о размещении заказов, в том числе по результатам рассмотрения тех жалоб, которые по доводам признаны необоснованными. Выдано 102 предписания об устранении нарушений законодательства о размещении заказов, из которых в добровольном порядке было </w:t>
      </w:r>
      <w:r>
        <w:rPr>
          <w:rFonts w:ascii="Times New Roman" w:hAnsi="Times New Roman"/>
          <w:sz w:val="26"/>
          <w:szCs w:val="26"/>
        </w:rPr>
        <w:lastRenderedPageBreak/>
        <w:t>исполнено 95 предписаний, 7 предписаний находятся на стадии исполнения, поскольку выданы в последних числах отчетного периода.</w:t>
      </w:r>
    </w:p>
    <w:p w:rsidR="00F23D45" w:rsidRDefault="00F23D45" w:rsidP="00F23D45">
      <w:pPr>
        <w:ind w:firstLine="708"/>
        <w:jc w:val="both"/>
        <w:rPr>
          <w:rFonts w:ascii="Times New Roman" w:hAnsi="Times New Roman"/>
          <w:sz w:val="26"/>
          <w:szCs w:val="26"/>
        </w:rPr>
      </w:pPr>
      <w:r>
        <w:rPr>
          <w:rFonts w:ascii="Times New Roman" w:hAnsi="Times New Roman"/>
          <w:sz w:val="26"/>
          <w:szCs w:val="26"/>
        </w:rPr>
        <w:t>В отчетном периоде имеет место увеличение количества жалоб участников размещения заказа. Количество выданных предписаний об устранении нарушений законодательства о размещении заказов незначительно уменьшилось, нежели в предыдущем периоде ввиду того, что имели место случаи  устранения  нарушений заказчикам, уполномоченными органами до момента проведения проверочного мероприятия. Кроме того, снижение объема выявленных  нарушений свидетельствует об эффективности работы территориального органа ФАС России за истекший период (проведение разъяснительной, предупредительной работы).</w:t>
      </w:r>
    </w:p>
    <w:p w:rsidR="00F23D45" w:rsidRDefault="00F23D45" w:rsidP="00F23D45">
      <w:pPr>
        <w:ind w:firstLine="708"/>
        <w:jc w:val="both"/>
        <w:rPr>
          <w:rFonts w:ascii="Times New Roman" w:hAnsi="Times New Roman"/>
          <w:sz w:val="26"/>
          <w:szCs w:val="26"/>
        </w:rPr>
      </w:pPr>
      <w:r>
        <w:rPr>
          <w:rFonts w:ascii="Times New Roman" w:hAnsi="Times New Roman"/>
          <w:sz w:val="26"/>
          <w:szCs w:val="26"/>
        </w:rPr>
        <w:t>Как и в предыдущих отчетных периодах, наиболее частыми нарушениями при размещении заказов являются:</w:t>
      </w:r>
    </w:p>
    <w:p w:rsidR="00F23D45" w:rsidRDefault="00F23D45" w:rsidP="00F23D45">
      <w:pPr>
        <w:ind w:firstLine="708"/>
        <w:jc w:val="both"/>
        <w:rPr>
          <w:rFonts w:ascii="Times New Roman" w:hAnsi="Times New Roman"/>
          <w:sz w:val="26"/>
          <w:szCs w:val="26"/>
        </w:rPr>
      </w:pPr>
      <w:r>
        <w:rPr>
          <w:rFonts w:ascii="Times New Roman" w:hAnsi="Times New Roman"/>
          <w:sz w:val="26"/>
          <w:szCs w:val="26"/>
        </w:rPr>
        <w:t>- необоснованный отказ в допуске к торгам, к проведению запроса котировок, либо необоснованный допуск к торгам либо к проведению запроса котировок,</w:t>
      </w:r>
    </w:p>
    <w:p w:rsidR="00F23D45" w:rsidRDefault="00F23D45" w:rsidP="00F23D45">
      <w:pPr>
        <w:ind w:firstLine="708"/>
        <w:jc w:val="both"/>
        <w:rPr>
          <w:rFonts w:ascii="Times New Roman" w:hAnsi="Times New Roman"/>
          <w:sz w:val="26"/>
          <w:szCs w:val="26"/>
        </w:rPr>
      </w:pPr>
      <w:r>
        <w:rPr>
          <w:rFonts w:ascii="Times New Roman" w:hAnsi="Times New Roman"/>
          <w:sz w:val="26"/>
          <w:szCs w:val="26"/>
        </w:rPr>
        <w:t>- установление требований к заявке участника размещения заказа либо к участнику размещения заказа, не предусмотренные законодательством о размещении заказов,</w:t>
      </w:r>
    </w:p>
    <w:p w:rsidR="00F23D45" w:rsidRDefault="00F23D45" w:rsidP="00F23D45">
      <w:pPr>
        <w:ind w:firstLine="708"/>
        <w:jc w:val="both"/>
        <w:rPr>
          <w:rFonts w:ascii="Times New Roman" w:hAnsi="Times New Roman"/>
          <w:sz w:val="26"/>
          <w:szCs w:val="26"/>
        </w:rPr>
      </w:pPr>
      <w:r>
        <w:rPr>
          <w:rFonts w:ascii="Times New Roman" w:hAnsi="Times New Roman"/>
          <w:sz w:val="26"/>
          <w:szCs w:val="26"/>
        </w:rPr>
        <w:t>- установление требований, ограничивающих число участников размещения заказа.</w:t>
      </w:r>
    </w:p>
    <w:p w:rsidR="00F23D45" w:rsidRDefault="00F23D45" w:rsidP="00F23D45">
      <w:pPr>
        <w:ind w:firstLine="708"/>
        <w:jc w:val="both"/>
        <w:rPr>
          <w:rFonts w:ascii="Times New Roman" w:hAnsi="Times New Roman"/>
          <w:sz w:val="26"/>
          <w:szCs w:val="26"/>
        </w:rPr>
      </w:pPr>
      <w:proofErr w:type="gramStart"/>
      <w:r>
        <w:rPr>
          <w:rFonts w:ascii="Times New Roman" w:hAnsi="Times New Roman"/>
          <w:sz w:val="26"/>
          <w:szCs w:val="26"/>
        </w:rPr>
        <w:t xml:space="preserve">Рассмотрение жалоб участников размещения заказа проводится в соответствии со статьей 60 Федерального закона от 21.07.2005 № 94-ФЗ и административного регламента </w:t>
      </w:r>
      <w:r w:rsidRPr="00EC6BBD">
        <w:rPr>
          <w:rFonts w:ascii="Times New Roman" w:hAnsi="Times New Roman"/>
          <w:sz w:val="26"/>
          <w:szCs w:val="26"/>
        </w:rPr>
        <w:t>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w:t>
      </w:r>
      <w:r>
        <w:rPr>
          <w:rFonts w:ascii="Times New Roman" w:hAnsi="Times New Roman"/>
          <w:sz w:val="26"/>
          <w:szCs w:val="26"/>
        </w:rPr>
        <w:t xml:space="preserve"> в том числе при размещении заказов на </w:t>
      </w:r>
      <w:proofErr w:type="spellStart"/>
      <w:r>
        <w:rPr>
          <w:rFonts w:ascii="Times New Roman" w:hAnsi="Times New Roman"/>
          <w:sz w:val="26"/>
          <w:szCs w:val="26"/>
        </w:rPr>
        <w:t>энергосервис</w:t>
      </w:r>
      <w:proofErr w:type="spellEnd"/>
      <w:proofErr w:type="gramEnd"/>
      <w:r>
        <w:rPr>
          <w:rFonts w:ascii="Times New Roman" w:hAnsi="Times New Roman"/>
          <w:sz w:val="26"/>
          <w:szCs w:val="26"/>
        </w:rPr>
        <w:t>, для государственных, муниципальных нужд, нужд бюджетных учреждений,</w:t>
      </w:r>
      <w:r w:rsidRPr="00EC6BBD">
        <w:rPr>
          <w:rFonts w:ascii="Times New Roman" w:hAnsi="Times New Roman"/>
          <w:sz w:val="26"/>
          <w:szCs w:val="26"/>
        </w:rPr>
        <w:t xml:space="preserve"> утвер</w:t>
      </w:r>
      <w:r>
        <w:rPr>
          <w:rFonts w:ascii="Times New Roman" w:hAnsi="Times New Roman"/>
          <w:sz w:val="26"/>
          <w:szCs w:val="26"/>
        </w:rPr>
        <w:t>жденного приказом ФАС России № 498 от 24.07.2012.</w:t>
      </w:r>
    </w:p>
    <w:p w:rsidR="00F23D45" w:rsidRDefault="00F23D45" w:rsidP="00F23D45">
      <w:pPr>
        <w:jc w:val="center"/>
        <w:rPr>
          <w:rFonts w:ascii="Times New Roman" w:hAnsi="Times New Roman"/>
          <w:b/>
          <w:sz w:val="26"/>
          <w:szCs w:val="26"/>
        </w:rPr>
      </w:pPr>
      <w:r w:rsidRPr="00456389">
        <w:rPr>
          <w:rFonts w:ascii="Times New Roman" w:hAnsi="Times New Roman"/>
          <w:b/>
          <w:sz w:val="26"/>
          <w:szCs w:val="26"/>
        </w:rPr>
        <w:t>2</w:t>
      </w:r>
      <w:r>
        <w:rPr>
          <w:rFonts w:ascii="Times New Roman" w:hAnsi="Times New Roman"/>
          <w:b/>
          <w:sz w:val="26"/>
          <w:szCs w:val="26"/>
        </w:rPr>
        <w:t>.</w:t>
      </w:r>
      <w:r w:rsidRPr="00456389">
        <w:rPr>
          <w:rFonts w:ascii="Times New Roman" w:hAnsi="Times New Roman"/>
          <w:b/>
          <w:sz w:val="26"/>
          <w:szCs w:val="26"/>
        </w:rPr>
        <w:t xml:space="preserve">  Работа по осуществлению проверочных мероприятий</w:t>
      </w:r>
    </w:p>
    <w:p w:rsidR="00F23D45" w:rsidRDefault="00F23D45" w:rsidP="00F23D45">
      <w:pPr>
        <w:ind w:firstLine="708"/>
        <w:jc w:val="both"/>
        <w:rPr>
          <w:rFonts w:ascii="Times New Roman" w:hAnsi="Times New Roman"/>
          <w:sz w:val="26"/>
          <w:szCs w:val="26"/>
        </w:rPr>
      </w:pPr>
      <w:proofErr w:type="gramStart"/>
      <w:r w:rsidRPr="00456389">
        <w:rPr>
          <w:rFonts w:ascii="Times New Roman" w:hAnsi="Times New Roman"/>
          <w:sz w:val="26"/>
          <w:szCs w:val="26"/>
        </w:rPr>
        <w:t>Управлением</w:t>
      </w:r>
      <w:r>
        <w:rPr>
          <w:rFonts w:ascii="Times New Roman" w:hAnsi="Times New Roman"/>
          <w:sz w:val="26"/>
          <w:szCs w:val="26"/>
        </w:rPr>
        <w:t xml:space="preserve"> Федеральной антимонопольной службы по Владимирской области в отчетном периоде  проводились внеплановые проверки при размещении заказов на поставки товаров, выполнение работ, оказание услуг для федеральных, региональных и муниципальных нужд в рамках рассмотрения жалоб участников размещения заказа,  на основании информации о  нарушениях законодательства о </w:t>
      </w:r>
      <w:r>
        <w:rPr>
          <w:rFonts w:ascii="Times New Roman" w:hAnsi="Times New Roman"/>
          <w:sz w:val="26"/>
          <w:szCs w:val="26"/>
        </w:rPr>
        <w:lastRenderedPageBreak/>
        <w:t>размещении заказов, в рамках контроля исполнения предписаний об устранении нарушений законодательства о размещении заказов.</w:t>
      </w:r>
      <w:proofErr w:type="gramEnd"/>
      <w:r>
        <w:rPr>
          <w:rFonts w:ascii="Times New Roman" w:hAnsi="Times New Roman"/>
          <w:sz w:val="26"/>
          <w:szCs w:val="26"/>
        </w:rPr>
        <w:t xml:space="preserve">  В случае выявления признаков административного правонарушения, возбуждалось административное производство.</w:t>
      </w:r>
    </w:p>
    <w:p w:rsidR="00F23D45" w:rsidRDefault="00F23D45" w:rsidP="00F23D45">
      <w:pPr>
        <w:jc w:val="both"/>
        <w:rPr>
          <w:rFonts w:ascii="Times New Roman" w:hAnsi="Times New Roman"/>
          <w:sz w:val="26"/>
          <w:szCs w:val="26"/>
        </w:rPr>
      </w:pPr>
      <w:r>
        <w:rPr>
          <w:rFonts w:ascii="Times New Roman" w:hAnsi="Times New Roman"/>
          <w:sz w:val="26"/>
          <w:szCs w:val="26"/>
        </w:rPr>
        <w:tab/>
        <w:t xml:space="preserve">Кроме того, внеплановые проверки  проводились путем проведения мониторинга информации о размещении заказов, опубликованной на официальном сайте </w:t>
      </w:r>
      <w:hyperlink r:id="rId5" w:history="1">
        <w:r w:rsidRPr="00FC7D9B">
          <w:rPr>
            <w:rStyle w:val="a3"/>
            <w:rFonts w:ascii="Times New Roman" w:hAnsi="Times New Roman"/>
            <w:sz w:val="26"/>
            <w:szCs w:val="26"/>
            <w:lang w:val="en-US"/>
          </w:rPr>
          <w:t>www</w:t>
        </w:r>
        <w:r w:rsidRPr="00FC7D9B">
          <w:rPr>
            <w:rStyle w:val="a3"/>
            <w:rFonts w:ascii="Times New Roman" w:hAnsi="Times New Roman"/>
            <w:sz w:val="26"/>
            <w:szCs w:val="26"/>
          </w:rPr>
          <w:t>.</w:t>
        </w:r>
        <w:proofErr w:type="spellStart"/>
        <w:r w:rsidRPr="00FC7D9B">
          <w:rPr>
            <w:rStyle w:val="a3"/>
            <w:rFonts w:ascii="Times New Roman" w:hAnsi="Times New Roman"/>
            <w:sz w:val="26"/>
            <w:szCs w:val="26"/>
            <w:lang w:val="en-US"/>
          </w:rPr>
          <w:t>zakupki</w:t>
        </w:r>
        <w:proofErr w:type="spellEnd"/>
        <w:r w:rsidRPr="00FC7D9B">
          <w:rPr>
            <w:rStyle w:val="a3"/>
            <w:rFonts w:ascii="Times New Roman" w:hAnsi="Times New Roman"/>
            <w:sz w:val="26"/>
            <w:szCs w:val="26"/>
          </w:rPr>
          <w:t>.</w:t>
        </w:r>
        <w:proofErr w:type="spellStart"/>
        <w:r w:rsidRPr="00FC7D9B">
          <w:rPr>
            <w:rStyle w:val="a3"/>
            <w:rFonts w:ascii="Times New Roman" w:hAnsi="Times New Roman"/>
            <w:sz w:val="26"/>
            <w:szCs w:val="26"/>
            <w:lang w:val="en-US"/>
          </w:rPr>
          <w:t>gov</w:t>
        </w:r>
        <w:proofErr w:type="spellEnd"/>
        <w:r w:rsidRPr="00FC7D9B">
          <w:rPr>
            <w:rStyle w:val="a3"/>
            <w:rFonts w:ascii="Times New Roman" w:hAnsi="Times New Roman"/>
            <w:sz w:val="26"/>
            <w:szCs w:val="26"/>
          </w:rPr>
          <w:t>.</w:t>
        </w:r>
        <w:proofErr w:type="spellStart"/>
        <w:r w:rsidRPr="00FC7D9B">
          <w:rPr>
            <w:rStyle w:val="a3"/>
            <w:rFonts w:ascii="Times New Roman" w:hAnsi="Times New Roman"/>
            <w:sz w:val="26"/>
            <w:szCs w:val="26"/>
            <w:lang w:val="en-US"/>
          </w:rPr>
          <w:t>ru</w:t>
        </w:r>
        <w:proofErr w:type="spellEnd"/>
      </w:hyperlink>
      <w:r>
        <w:rPr>
          <w:rFonts w:ascii="Times New Roman" w:hAnsi="Times New Roman"/>
          <w:sz w:val="26"/>
          <w:szCs w:val="26"/>
        </w:rPr>
        <w:t xml:space="preserve">. Всего проведено 255 внеплановых проверок, по результатам которых выявлено 321 нарушение законодательства о размещении заказов, выдано 216 предписаний. В ряде случаев возбуждались производства по делам об административном правонарушении, предусмотренным статьями 7.29- 7.32 </w:t>
      </w:r>
      <w:proofErr w:type="spellStart"/>
      <w:r>
        <w:rPr>
          <w:rFonts w:ascii="Times New Roman" w:hAnsi="Times New Roman"/>
          <w:sz w:val="26"/>
          <w:szCs w:val="26"/>
        </w:rPr>
        <w:t>КоАП</w:t>
      </w:r>
      <w:proofErr w:type="spellEnd"/>
      <w:r>
        <w:rPr>
          <w:rFonts w:ascii="Times New Roman" w:hAnsi="Times New Roman"/>
          <w:sz w:val="26"/>
          <w:szCs w:val="26"/>
        </w:rPr>
        <w:t xml:space="preserve"> РФ.</w:t>
      </w:r>
    </w:p>
    <w:p w:rsidR="00F23D45" w:rsidRDefault="00F23D45" w:rsidP="00F23D45">
      <w:pPr>
        <w:jc w:val="both"/>
        <w:rPr>
          <w:rFonts w:ascii="Times New Roman" w:hAnsi="Times New Roman"/>
          <w:sz w:val="26"/>
          <w:szCs w:val="26"/>
        </w:rPr>
      </w:pPr>
      <w:r>
        <w:rPr>
          <w:rFonts w:ascii="Times New Roman" w:hAnsi="Times New Roman"/>
          <w:sz w:val="26"/>
          <w:szCs w:val="26"/>
        </w:rPr>
        <w:tab/>
      </w:r>
      <w:r w:rsidRPr="00AE1484">
        <w:rPr>
          <w:rFonts w:ascii="Times New Roman" w:hAnsi="Times New Roman"/>
          <w:sz w:val="26"/>
          <w:szCs w:val="26"/>
        </w:rPr>
        <w:t xml:space="preserve">Так же  в отчетном периоде </w:t>
      </w:r>
      <w:proofErr w:type="gramStart"/>
      <w:r w:rsidRPr="00AE1484">
        <w:rPr>
          <w:rFonts w:ascii="Times New Roman" w:hAnsi="Times New Roman"/>
          <w:sz w:val="26"/>
          <w:szCs w:val="26"/>
        </w:rPr>
        <w:t>Влади</w:t>
      </w:r>
      <w:r>
        <w:rPr>
          <w:rFonts w:ascii="Times New Roman" w:hAnsi="Times New Roman"/>
          <w:sz w:val="26"/>
          <w:szCs w:val="26"/>
        </w:rPr>
        <w:t>мирское</w:t>
      </w:r>
      <w:proofErr w:type="gramEnd"/>
      <w:r>
        <w:rPr>
          <w:rFonts w:ascii="Times New Roman" w:hAnsi="Times New Roman"/>
          <w:sz w:val="26"/>
          <w:szCs w:val="26"/>
        </w:rPr>
        <w:t xml:space="preserve"> УФАС России провело четыре </w:t>
      </w:r>
      <w:r w:rsidRPr="00AE1484">
        <w:rPr>
          <w:rFonts w:ascii="Times New Roman" w:hAnsi="Times New Roman"/>
          <w:sz w:val="26"/>
          <w:szCs w:val="26"/>
        </w:rPr>
        <w:t>плановы</w:t>
      </w:r>
      <w:r>
        <w:rPr>
          <w:rFonts w:ascii="Times New Roman" w:hAnsi="Times New Roman"/>
          <w:sz w:val="26"/>
          <w:szCs w:val="26"/>
        </w:rPr>
        <w:t>х</w:t>
      </w:r>
      <w:r w:rsidRPr="00AE1484">
        <w:rPr>
          <w:rFonts w:ascii="Times New Roman" w:hAnsi="Times New Roman"/>
          <w:sz w:val="26"/>
          <w:szCs w:val="26"/>
        </w:rPr>
        <w:t xml:space="preserve"> проверочны</w:t>
      </w:r>
      <w:r>
        <w:rPr>
          <w:rFonts w:ascii="Times New Roman" w:hAnsi="Times New Roman"/>
          <w:sz w:val="26"/>
          <w:szCs w:val="26"/>
        </w:rPr>
        <w:t>х</w:t>
      </w:r>
      <w:r w:rsidRPr="00AE1484">
        <w:rPr>
          <w:rFonts w:ascii="Times New Roman" w:hAnsi="Times New Roman"/>
          <w:sz w:val="26"/>
          <w:szCs w:val="26"/>
        </w:rPr>
        <w:t xml:space="preserve"> мероприятия следующих заказчиков:</w:t>
      </w:r>
    </w:p>
    <w:p w:rsidR="00F23D45" w:rsidRDefault="00F23D45" w:rsidP="00F23D45">
      <w:pPr>
        <w:jc w:val="both"/>
        <w:rPr>
          <w:rFonts w:ascii="Times New Roman" w:hAnsi="Times New Roman"/>
          <w:sz w:val="26"/>
          <w:szCs w:val="26"/>
        </w:rPr>
      </w:pPr>
      <w:r>
        <w:rPr>
          <w:rFonts w:ascii="Times New Roman" w:hAnsi="Times New Roman"/>
          <w:sz w:val="26"/>
          <w:szCs w:val="26"/>
        </w:rPr>
        <w:t>- Управление Федеральной миграционной службы по Владимирской области,</w:t>
      </w:r>
    </w:p>
    <w:p w:rsidR="00F23D45" w:rsidRPr="00AE1484" w:rsidRDefault="00F23D45" w:rsidP="00F23D45">
      <w:pPr>
        <w:jc w:val="both"/>
        <w:rPr>
          <w:rFonts w:ascii="Times New Roman" w:hAnsi="Times New Roman"/>
          <w:sz w:val="26"/>
          <w:szCs w:val="26"/>
        </w:rPr>
      </w:pPr>
      <w:r>
        <w:rPr>
          <w:rFonts w:ascii="Times New Roman" w:hAnsi="Times New Roman"/>
          <w:sz w:val="26"/>
          <w:szCs w:val="26"/>
        </w:rPr>
        <w:t>- ФГКУ «Специальное управление ФПС № 66 МЧС России»</w:t>
      </w:r>
    </w:p>
    <w:p w:rsidR="00F23D45" w:rsidRPr="00AE1484" w:rsidRDefault="00F23D45" w:rsidP="00F23D45">
      <w:pPr>
        <w:jc w:val="both"/>
        <w:rPr>
          <w:rFonts w:ascii="Times New Roman" w:hAnsi="Times New Roman"/>
          <w:sz w:val="26"/>
          <w:szCs w:val="26"/>
        </w:rPr>
      </w:pPr>
      <w:r w:rsidRPr="00AE1484">
        <w:rPr>
          <w:rFonts w:ascii="Times New Roman" w:hAnsi="Times New Roman"/>
          <w:sz w:val="26"/>
          <w:szCs w:val="26"/>
        </w:rPr>
        <w:t xml:space="preserve">- </w:t>
      </w:r>
      <w:r>
        <w:rPr>
          <w:rFonts w:ascii="Times New Roman" w:hAnsi="Times New Roman"/>
          <w:sz w:val="26"/>
          <w:szCs w:val="26"/>
        </w:rPr>
        <w:t xml:space="preserve">ФГБУ «Управление </w:t>
      </w:r>
      <w:proofErr w:type="spellStart"/>
      <w:r>
        <w:rPr>
          <w:rFonts w:ascii="Times New Roman" w:hAnsi="Times New Roman"/>
          <w:sz w:val="26"/>
          <w:szCs w:val="26"/>
        </w:rPr>
        <w:t>Владимирмелиоводхоз</w:t>
      </w:r>
      <w:proofErr w:type="spellEnd"/>
      <w:r>
        <w:rPr>
          <w:rFonts w:ascii="Times New Roman" w:hAnsi="Times New Roman"/>
          <w:sz w:val="26"/>
          <w:szCs w:val="26"/>
        </w:rPr>
        <w:t>»</w:t>
      </w:r>
      <w:r w:rsidRPr="00AE1484">
        <w:rPr>
          <w:rFonts w:ascii="Times New Roman" w:hAnsi="Times New Roman"/>
          <w:sz w:val="26"/>
          <w:szCs w:val="26"/>
        </w:rPr>
        <w:t>,</w:t>
      </w:r>
    </w:p>
    <w:p w:rsidR="00F23D45" w:rsidRDefault="00F23D45" w:rsidP="00F23D45">
      <w:pPr>
        <w:jc w:val="both"/>
        <w:rPr>
          <w:rFonts w:ascii="Times New Roman" w:hAnsi="Times New Roman"/>
          <w:sz w:val="26"/>
          <w:szCs w:val="26"/>
        </w:rPr>
      </w:pPr>
      <w:r w:rsidRPr="00AE1484">
        <w:rPr>
          <w:rFonts w:ascii="Times New Roman" w:hAnsi="Times New Roman"/>
          <w:sz w:val="26"/>
          <w:szCs w:val="26"/>
        </w:rPr>
        <w:t xml:space="preserve">- Управление </w:t>
      </w:r>
      <w:proofErr w:type="spellStart"/>
      <w:r w:rsidRPr="00AE1484">
        <w:rPr>
          <w:rFonts w:ascii="Times New Roman" w:hAnsi="Times New Roman"/>
          <w:sz w:val="26"/>
          <w:szCs w:val="26"/>
        </w:rPr>
        <w:t>Россельхоз</w:t>
      </w:r>
      <w:r>
        <w:rPr>
          <w:rFonts w:ascii="Times New Roman" w:hAnsi="Times New Roman"/>
          <w:sz w:val="26"/>
          <w:szCs w:val="26"/>
        </w:rPr>
        <w:t>надзора</w:t>
      </w:r>
      <w:proofErr w:type="spellEnd"/>
      <w:r>
        <w:rPr>
          <w:rFonts w:ascii="Times New Roman" w:hAnsi="Times New Roman"/>
          <w:sz w:val="26"/>
          <w:szCs w:val="26"/>
        </w:rPr>
        <w:t xml:space="preserve"> по Владимирской области.</w:t>
      </w:r>
    </w:p>
    <w:p w:rsidR="00F23D45" w:rsidRDefault="00F23D45" w:rsidP="00F23D45">
      <w:pPr>
        <w:ind w:firstLine="708"/>
        <w:jc w:val="both"/>
        <w:rPr>
          <w:rFonts w:ascii="Times New Roman" w:hAnsi="Times New Roman"/>
          <w:sz w:val="26"/>
          <w:szCs w:val="26"/>
        </w:rPr>
      </w:pPr>
      <w:proofErr w:type="gramStart"/>
      <w:r>
        <w:rPr>
          <w:rFonts w:ascii="Times New Roman" w:hAnsi="Times New Roman"/>
          <w:sz w:val="26"/>
          <w:szCs w:val="26"/>
        </w:rPr>
        <w:t>Наиболее часто встречающиеся нарушения законодательства, выявленные по результатам проведения проверочных мероприятий: сокращение срока подачи заявок, нарушение срока размещения на официальном сайте информации, подлежащей размещению в соответствии с законодательством, установление требований к участнику размещения заказа, к заявке участника размещения заказа, не предусмотренных законодательством о размещении заказов, необоснованный допуск к торгам, к проведению запроса котировок, заключение контракта с нарушением объявленных условий.</w:t>
      </w:r>
      <w:proofErr w:type="gramEnd"/>
    </w:p>
    <w:p w:rsidR="00F23D45" w:rsidRDefault="00F23D45" w:rsidP="00F23D45">
      <w:pPr>
        <w:jc w:val="center"/>
        <w:rPr>
          <w:rFonts w:ascii="Times New Roman" w:hAnsi="Times New Roman"/>
          <w:b/>
          <w:sz w:val="26"/>
          <w:szCs w:val="26"/>
        </w:rPr>
      </w:pPr>
      <w:r w:rsidRPr="00434653">
        <w:rPr>
          <w:rFonts w:ascii="Times New Roman" w:hAnsi="Times New Roman"/>
          <w:b/>
          <w:sz w:val="26"/>
          <w:szCs w:val="26"/>
        </w:rPr>
        <w:t>3</w:t>
      </w:r>
      <w:r>
        <w:rPr>
          <w:rFonts w:ascii="Times New Roman" w:hAnsi="Times New Roman"/>
          <w:b/>
          <w:sz w:val="26"/>
          <w:szCs w:val="26"/>
        </w:rPr>
        <w:t>.</w:t>
      </w:r>
      <w:r w:rsidRPr="00434653">
        <w:rPr>
          <w:rFonts w:ascii="Times New Roman" w:hAnsi="Times New Roman"/>
          <w:b/>
          <w:sz w:val="26"/>
          <w:szCs w:val="26"/>
        </w:rPr>
        <w:t xml:space="preserve"> Работа по ведению реестра недобросовестных поставщиков</w:t>
      </w:r>
    </w:p>
    <w:p w:rsidR="00F23D45" w:rsidRDefault="00F23D45" w:rsidP="00F23D45">
      <w:pPr>
        <w:ind w:firstLine="708"/>
        <w:jc w:val="both"/>
        <w:rPr>
          <w:rFonts w:ascii="Times New Roman" w:hAnsi="Times New Roman"/>
          <w:sz w:val="26"/>
          <w:szCs w:val="26"/>
        </w:rPr>
      </w:pPr>
      <w:r>
        <w:rPr>
          <w:rFonts w:ascii="Times New Roman" w:hAnsi="Times New Roman"/>
          <w:sz w:val="26"/>
          <w:szCs w:val="26"/>
        </w:rPr>
        <w:t xml:space="preserve">В 2013 году во Владимирское УФАС России поступило 52 обращения заказчиков о включении сведений в реестр недобросовестных поставщиков о лицах, уклонившихся от заключения контракта, а так же лицах, с которыми контракт </w:t>
      </w:r>
      <w:proofErr w:type="gramStart"/>
      <w:r>
        <w:rPr>
          <w:rFonts w:ascii="Times New Roman" w:hAnsi="Times New Roman"/>
          <w:sz w:val="26"/>
          <w:szCs w:val="26"/>
        </w:rPr>
        <w:t>был</w:t>
      </w:r>
      <w:proofErr w:type="gramEnd"/>
      <w:r>
        <w:rPr>
          <w:rFonts w:ascii="Times New Roman" w:hAnsi="Times New Roman"/>
          <w:sz w:val="26"/>
          <w:szCs w:val="26"/>
        </w:rPr>
        <w:t xml:space="preserve"> расторгнут ввиду существенного нарушения условий контракта.</w:t>
      </w:r>
    </w:p>
    <w:p w:rsidR="00F23D45" w:rsidRDefault="00F23D45" w:rsidP="00F23D45">
      <w:pPr>
        <w:ind w:firstLine="708"/>
        <w:jc w:val="both"/>
        <w:rPr>
          <w:rFonts w:ascii="Times New Roman" w:hAnsi="Times New Roman"/>
          <w:sz w:val="26"/>
          <w:szCs w:val="26"/>
        </w:rPr>
      </w:pPr>
      <w:r>
        <w:rPr>
          <w:rFonts w:ascii="Times New Roman" w:hAnsi="Times New Roman"/>
          <w:sz w:val="26"/>
          <w:szCs w:val="26"/>
        </w:rPr>
        <w:t>По результатам рассмотрения указанных обращений, в реестр недобросовестных поставщиков внесены сведения о 25 физических и юридических лицах.</w:t>
      </w:r>
    </w:p>
    <w:p w:rsidR="00F23D45" w:rsidRDefault="00F23D45" w:rsidP="00F23D45">
      <w:pPr>
        <w:ind w:firstLine="708"/>
        <w:jc w:val="both"/>
        <w:rPr>
          <w:rFonts w:ascii="Times New Roman" w:hAnsi="Times New Roman"/>
          <w:sz w:val="26"/>
          <w:szCs w:val="26"/>
        </w:rPr>
      </w:pPr>
      <w:r>
        <w:rPr>
          <w:rFonts w:ascii="Times New Roman" w:hAnsi="Times New Roman"/>
          <w:noProof/>
          <w:sz w:val="26"/>
          <w:szCs w:val="26"/>
          <w:lang w:eastAsia="ru-RU"/>
        </w:rPr>
        <w:lastRenderedPageBreak/>
        <w:drawing>
          <wp:inline distT="0" distB="0" distL="0" distR="0">
            <wp:extent cx="5391150" cy="20097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23D45" w:rsidRDefault="00F23D45" w:rsidP="00F23D45">
      <w:pPr>
        <w:ind w:firstLine="708"/>
        <w:jc w:val="both"/>
        <w:rPr>
          <w:rFonts w:ascii="Times New Roman" w:hAnsi="Times New Roman"/>
          <w:sz w:val="26"/>
          <w:szCs w:val="26"/>
        </w:rPr>
      </w:pPr>
      <w:r>
        <w:rPr>
          <w:rFonts w:ascii="Times New Roman" w:hAnsi="Times New Roman"/>
          <w:sz w:val="26"/>
          <w:szCs w:val="26"/>
        </w:rPr>
        <w:t xml:space="preserve">Среди основных причин отказа в удовлетворении обращений о включении в РНП: несвоевременное направление заказчиком проекта контракта победителю торгов, запроса котировок. В случае проведения электронного аукциона - сбой в работе электронной торговой площадки, возникновение проблем с </w:t>
      </w:r>
      <w:proofErr w:type="spellStart"/>
      <w:r>
        <w:rPr>
          <w:rFonts w:ascii="Times New Roman" w:hAnsi="Times New Roman"/>
          <w:sz w:val="26"/>
          <w:szCs w:val="26"/>
        </w:rPr>
        <w:t>электронн</w:t>
      </w:r>
      <w:proofErr w:type="gramStart"/>
      <w:r>
        <w:rPr>
          <w:rFonts w:ascii="Times New Roman" w:hAnsi="Times New Roman"/>
          <w:sz w:val="26"/>
          <w:szCs w:val="26"/>
        </w:rPr>
        <w:t>о</w:t>
      </w:r>
      <w:proofErr w:type="spellEnd"/>
      <w:r>
        <w:rPr>
          <w:rFonts w:ascii="Times New Roman" w:hAnsi="Times New Roman"/>
          <w:sz w:val="26"/>
          <w:szCs w:val="26"/>
        </w:rPr>
        <w:t>-</w:t>
      </w:r>
      <w:proofErr w:type="gramEnd"/>
      <w:r>
        <w:rPr>
          <w:rFonts w:ascii="Times New Roman" w:hAnsi="Times New Roman"/>
          <w:sz w:val="26"/>
          <w:szCs w:val="26"/>
        </w:rPr>
        <w:t xml:space="preserve"> цифровой подписью.</w:t>
      </w:r>
    </w:p>
    <w:p w:rsidR="00F23D45" w:rsidRDefault="00F23D45" w:rsidP="00F23D45">
      <w:pPr>
        <w:jc w:val="center"/>
        <w:rPr>
          <w:rFonts w:ascii="Times New Roman" w:hAnsi="Times New Roman"/>
          <w:b/>
          <w:sz w:val="26"/>
          <w:szCs w:val="26"/>
        </w:rPr>
      </w:pPr>
      <w:r>
        <w:rPr>
          <w:rFonts w:ascii="Times New Roman" w:hAnsi="Times New Roman"/>
          <w:b/>
          <w:sz w:val="26"/>
          <w:szCs w:val="26"/>
        </w:rPr>
        <w:t>4. Практика выявления административного правонарушения и привлечения к административной ответственности</w:t>
      </w:r>
    </w:p>
    <w:p w:rsidR="00F23D45" w:rsidRDefault="00F23D45" w:rsidP="00F23D45">
      <w:pPr>
        <w:jc w:val="both"/>
        <w:rPr>
          <w:rFonts w:ascii="Times New Roman" w:hAnsi="Times New Roman"/>
          <w:sz w:val="26"/>
          <w:szCs w:val="26"/>
        </w:rPr>
      </w:pPr>
      <w:r w:rsidRPr="00D04721">
        <w:rPr>
          <w:rFonts w:ascii="Times New Roman" w:hAnsi="Times New Roman"/>
          <w:sz w:val="26"/>
          <w:szCs w:val="26"/>
        </w:rPr>
        <w:t>В 201</w:t>
      </w:r>
      <w:r>
        <w:rPr>
          <w:rFonts w:ascii="Times New Roman" w:hAnsi="Times New Roman"/>
          <w:sz w:val="26"/>
          <w:szCs w:val="26"/>
        </w:rPr>
        <w:t>3</w:t>
      </w:r>
      <w:r w:rsidRPr="00D04721">
        <w:rPr>
          <w:rFonts w:ascii="Times New Roman" w:hAnsi="Times New Roman"/>
          <w:sz w:val="26"/>
          <w:szCs w:val="26"/>
        </w:rPr>
        <w:t xml:space="preserve"> году</w:t>
      </w:r>
      <w:r>
        <w:rPr>
          <w:rFonts w:ascii="Times New Roman" w:hAnsi="Times New Roman"/>
          <w:sz w:val="26"/>
          <w:szCs w:val="26"/>
        </w:rPr>
        <w:t xml:space="preserve"> </w:t>
      </w:r>
      <w:proofErr w:type="gramStart"/>
      <w:r>
        <w:rPr>
          <w:rFonts w:ascii="Times New Roman" w:hAnsi="Times New Roman"/>
          <w:sz w:val="26"/>
          <w:szCs w:val="26"/>
        </w:rPr>
        <w:t>Владимирским</w:t>
      </w:r>
      <w:proofErr w:type="gramEnd"/>
      <w:r>
        <w:rPr>
          <w:rFonts w:ascii="Times New Roman" w:hAnsi="Times New Roman"/>
          <w:sz w:val="26"/>
          <w:szCs w:val="26"/>
        </w:rPr>
        <w:t xml:space="preserve"> УФАС России рассмотрено 119 дел об административном правонарушении в сфере размещения заказа. Дела об административном правонарушении возбуждались по итогам рассмотрения  жалоб участников размещения заказа, проведения проверочных мероприятий, анализа информации, размещенной на официальном сайте </w:t>
      </w:r>
      <w:hyperlink r:id="rId7" w:history="1">
        <w:r w:rsidRPr="00FC7D9B">
          <w:rPr>
            <w:rStyle w:val="a3"/>
            <w:rFonts w:ascii="Times New Roman" w:hAnsi="Times New Roman"/>
            <w:sz w:val="26"/>
            <w:szCs w:val="26"/>
            <w:lang w:val="en-US"/>
          </w:rPr>
          <w:t>www</w:t>
        </w:r>
        <w:r w:rsidRPr="00FC7D9B">
          <w:rPr>
            <w:rStyle w:val="a3"/>
            <w:rFonts w:ascii="Times New Roman" w:hAnsi="Times New Roman"/>
            <w:sz w:val="26"/>
            <w:szCs w:val="26"/>
          </w:rPr>
          <w:t>.</w:t>
        </w:r>
        <w:proofErr w:type="spellStart"/>
        <w:r w:rsidRPr="00FC7D9B">
          <w:rPr>
            <w:rStyle w:val="a3"/>
            <w:rFonts w:ascii="Times New Roman" w:hAnsi="Times New Roman"/>
            <w:sz w:val="26"/>
            <w:szCs w:val="26"/>
            <w:lang w:val="en-US"/>
          </w:rPr>
          <w:t>zakupki</w:t>
        </w:r>
        <w:proofErr w:type="spellEnd"/>
        <w:r w:rsidRPr="00FC7D9B">
          <w:rPr>
            <w:rStyle w:val="a3"/>
            <w:rFonts w:ascii="Times New Roman" w:hAnsi="Times New Roman"/>
            <w:sz w:val="26"/>
            <w:szCs w:val="26"/>
          </w:rPr>
          <w:t>.</w:t>
        </w:r>
        <w:proofErr w:type="spellStart"/>
        <w:r w:rsidRPr="00FC7D9B">
          <w:rPr>
            <w:rStyle w:val="a3"/>
            <w:rFonts w:ascii="Times New Roman" w:hAnsi="Times New Roman"/>
            <w:sz w:val="26"/>
            <w:szCs w:val="26"/>
            <w:lang w:val="en-US"/>
          </w:rPr>
          <w:t>gov</w:t>
        </w:r>
        <w:proofErr w:type="spellEnd"/>
        <w:r w:rsidRPr="00FC7D9B">
          <w:rPr>
            <w:rStyle w:val="a3"/>
            <w:rFonts w:ascii="Times New Roman" w:hAnsi="Times New Roman"/>
            <w:sz w:val="26"/>
            <w:szCs w:val="26"/>
          </w:rPr>
          <w:t>.</w:t>
        </w:r>
        <w:proofErr w:type="spellStart"/>
        <w:r w:rsidRPr="00FC7D9B">
          <w:rPr>
            <w:rStyle w:val="a3"/>
            <w:rFonts w:ascii="Times New Roman" w:hAnsi="Times New Roman"/>
            <w:sz w:val="26"/>
            <w:szCs w:val="26"/>
            <w:lang w:val="en-US"/>
          </w:rPr>
          <w:t>ru</w:t>
        </w:r>
        <w:proofErr w:type="spellEnd"/>
      </w:hyperlink>
      <w:r>
        <w:rPr>
          <w:rFonts w:ascii="Times New Roman" w:hAnsi="Times New Roman"/>
          <w:sz w:val="26"/>
          <w:szCs w:val="26"/>
        </w:rPr>
        <w:t>.</w:t>
      </w:r>
    </w:p>
    <w:p w:rsidR="00F23D45" w:rsidRDefault="00F23D45" w:rsidP="00F23D45">
      <w:pPr>
        <w:jc w:val="both"/>
        <w:rPr>
          <w:rFonts w:ascii="Times New Roman" w:hAnsi="Times New Roman"/>
          <w:sz w:val="26"/>
          <w:szCs w:val="26"/>
        </w:rPr>
      </w:pPr>
      <w:r>
        <w:rPr>
          <w:rFonts w:ascii="Times New Roman" w:hAnsi="Times New Roman"/>
          <w:sz w:val="26"/>
          <w:szCs w:val="26"/>
        </w:rPr>
        <w:tab/>
        <w:t>Сумма административного штрафа, подлежащего взысканию, составила 2739,3 тыс. руб.; сумма взысканного административного штрафа составила 1 649,8 тыс. руб. (с учетом штрафов, наложенных в предыдущем отчетном периоде и оплаченных в текущем отчетном периоде). Следует отметить, что в ряде случаев        не истек срок добровольной оплаты административного штрафа, а так же была предоставлена отсрочка оплаты административного штрафа.</w:t>
      </w:r>
    </w:p>
    <w:p w:rsidR="00F23D45" w:rsidRDefault="00F23D45" w:rsidP="00F23D45">
      <w:pPr>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 xml:space="preserve">Среди наиболее часто встречающихся административных правонарушений следует назвать утверждение документации с нарушением требований законодательства о размещении заказов, нарушение порядка отбора участника торгов, неправомерный допуск  к участию в проведении запроса котировок заявки, подлежащей отклонению, заключение контракта с нарушением объявленных условий, нарушение сроков публикации сведений о заключении либо исполнении контракта, сокращение срока подачи заявок на участие в размещении заказа. </w:t>
      </w:r>
      <w:proofErr w:type="gramEnd"/>
    </w:p>
    <w:p w:rsidR="00F23D45" w:rsidRDefault="00F23D45" w:rsidP="00F23D45">
      <w:pPr>
        <w:jc w:val="center"/>
        <w:rPr>
          <w:rFonts w:ascii="Times New Roman" w:hAnsi="Times New Roman"/>
          <w:b/>
          <w:sz w:val="26"/>
          <w:szCs w:val="26"/>
        </w:rPr>
      </w:pPr>
    </w:p>
    <w:p w:rsidR="00F23D45" w:rsidRDefault="00F23D45" w:rsidP="00F23D45">
      <w:pPr>
        <w:jc w:val="center"/>
        <w:rPr>
          <w:rFonts w:ascii="Times New Roman" w:hAnsi="Times New Roman"/>
          <w:b/>
          <w:sz w:val="26"/>
          <w:szCs w:val="26"/>
        </w:rPr>
      </w:pPr>
      <w:r w:rsidRPr="00586E7A">
        <w:rPr>
          <w:rFonts w:ascii="Times New Roman" w:hAnsi="Times New Roman"/>
          <w:b/>
          <w:sz w:val="26"/>
          <w:szCs w:val="26"/>
        </w:rPr>
        <w:lastRenderedPageBreak/>
        <w:t>5</w:t>
      </w:r>
      <w:r>
        <w:rPr>
          <w:rFonts w:ascii="Times New Roman" w:hAnsi="Times New Roman"/>
          <w:b/>
          <w:sz w:val="26"/>
          <w:szCs w:val="26"/>
        </w:rPr>
        <w:t>.</w:t>
      </w:r>
      <w:r w:rsidRPr="00586E7A">
        <w:rPr>
          <w:rFonts w:ascii="Times New Roman" w:hAnsi="Times New Roman"/>
          <w:b/>
          <w:sz w:val="26"/>
          <w:szCs w:val="26"/>
        </w:rPr>
        <w:t xml:space="preserve"> Анализ судебной практики по вопросу  рассмотрения  судами ненормативных правовых актов ФАС России в сфере размещения заказа</w:t>
      </w:r>
    </w:p>
    <w:p w:rsidR="00F23D45" w:rsidRDefault="00F23D45" w:rsidP="00F23D45">
      <w:pPr>
        <w:ind w:firstLine="708"/>
        <w:jc w:val="both"/>
        <w:rPr>
          <w:rFonts w:ascii="Times New Roman" w:hAnsi="Times New Roman"/>
          <w:sz w:val="26"/>
          <w:szCs w:val="26"/>
        </w:rPr>
      </w:pPr>
      <w:proofErr w:type="gramStart"/>
      <w:r>
        <w:rPr>
          <w:rFonts w:ascii="Times New Roman" w:hAnsi="Times New Roman"/>
          <w:sz w:val="26"/>
          <w:szCs w:val="26"/>
        </w:rPr>
        <w:t>В отчетном периоде в Арбитражный суд Владимирской области обжаловано одно решение по делу о нарушении законодательства о размещении</w:t>
      </w:r>
      <w:proofErr w:type="gramEnd"/>
      <w:r>
        <w:rPr>
          <w:rFonts w:ascii="Times New Roman" w:hAnsi="Times New Roman"/>
          <w:sz w:val="26"/>
          <w:szCs w:val="26"/>
        </w:rPr>
        <w:t xml:space="preserve"> заказов, в соответствии с которым жалоба участника размещения заказа признана необоснованной. Решением Арбитражного суда Владимирской области решение по делу о нарушении законодательства о размещении заказа оставлено в силе, а заявление истца без удовлетворения. Указанное решение суда не было обжаловано в апелляционную и кассационную инстанции.</w:t>
      </w:r>
    </w:p>
    <w:p w:rsidR="00F23D45" w:rsidRDefault="00F23D45" w:rsidP="00F23D45">
      <w:pPr>
        <w:ind w:firstLine="708"/>
        <w:jc w:val="both"/>
        <w:rPr>
          <w:rFonts w:ascii="Times New Roman" w:hAnsi="Times New Roman"/>
          <w:sz w:val="26"/>
          <w:szCs w:val="26"/>
        </w:rPr>
      </w:pPr>
      <w:r>
        <w:rPr>
          <w:rFonts w:ascii="Times New Roman" w:hAnsi="Times New Roman"/>
          <w:sz w:val="26"/>
          <w:szCs w:val="26"/>
        </w:rPr>
        <w:t xml:space="preserve">В 2013 году обжаловано 36 постановления по делам об административном правонарушении. </w:t>
      </w:r>
    </w:p>
    <w:p w:rsidR="00F23D45" w:rsidRDefault="00F23D45" w:rsidP="00F23D45">
      <w:pPr>
        <w:ind w:firstLine="708"/>
        <w:jc w:val="both"/>
        <w:rPr>
          <w:rFonts w:ascii="Times New Roman" w:hAnsi="Times New Roman"/>
          <w:sz w:val="26"/>
          <w:szCs w:val="26"/>
        </w:rPr>
      </w:pPr>
      <w:r>
        <w:rPr>
          <w:rFonts w:ascii="Times New Roman" w:hAnsi="Times New Roman"/>
          <w:sz w:val="26"/>
          <w:szCs w:val="26"/>
        </w:rPr>
        <w:t>Из числа обжалованных административных постановлений в шести случаях административное производство прекращено ввиду малозначительности административного правонарушения. В девяти случаях производство по делам об административном правонарушении прекращено ввиду отсутствия состава правонарушения (стоит отметить, что в восьми случаях из девяти постановления по делам об административном правонарушении были поддержаны судом первой инстанции и отменены лишь по итогам рассмотрения кассационных жалоб).</w:t>
      </w:r>
    </w:p>
    <w:p w:rsidR="00F23D45" w:rsidRDefault="00F23D45" w:rsidP="00F23D45">
      <w:pPr>
        <w:ind w:firstLine="708"/>
        <w:jc w:val="both"/>
        <w:rPr>
          <w:rFonts w:ascii="Times New Roman" w:hAnsi="Times New Roman"/>
          <w:sz w:val="26"/>
          <w:szCs w:val="26"/>
        </w:rPr>
      </w:pPr>
      <w:proofErr w:type="gramStart"/>
      <w:r>
        <w:rPr>
          <w:rFonts w:ascii="Times New Roman" w:hAnsi="Times New Roman"/>
          <w:sz w:val="26"/>
          <w:szCs w:val="26"/>
        </w:rPr>
        <w:t>Семь административных постановлений оставлено судами в без изменения (в рамках исполнения указанных постановлений административные штрафы оплачены в полном объеме), в отношении четырнадцати постановлений судебное решение на момент подготовки отчета не вынесено (в отношении пяти из них имеются решения суда первой инстанции о признании законными постановлений антимонопольного органа; в настоящий момент решения суда и постановления обжалуются в кассационной инстанции).</w:t>
      </w:r>
      <w:proofErr w:type="gramEnd"/>
    </w:p>
    <w:p w:rsidR="00F23D45" w:rsidRDefault="00F23D45" w:rsidP="00F23D45">
      <w:pPr>
        <w:ind w:firstLine="708"/>
        <w:jc w:val="both"/>
        <w:rPr>
          <w:rFonts w:ascii="Times New Roman" w:hAnsi="Times New Roman"/>
          <w:sz w:val="26"/>
          <w:szCs w:val="26"/>
        </w:rPr>
      </w:pPr>
      <w:r>
        <w:rPr>
          <w:rFonts w:ascii="Times New Roman" w:hAnsi="Times New Roman"/>
          <w:sz w:val="26"/>
          <w:szCs w:val="26"/>
        </w:rPr>
        <w:t>Как и в предыдущем отчетном периоде, в настоящее время является актуальной проблема неоднозначного подхода районных судов к рассмотрению жалоб на постановления об административном правонарушении (с аналогичным составом правонарушения). Неоднозначность выражается в том, что в ряде случаев производство по делам прекращается ввиду малозначительности правонарушения, в иных случаях постановление остается в силе.</w:t>
      </w:r>
    </w:p>
    <w:p w:rsidR="00F23D45" w:rsidRDefault="00F23D45" w:rsidP="00F23D45">
      <w:pPr>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Владимирским</w:t>
      </w:r>
      <w:proofErr w:type="gramEnd"/>
      <w:r>
        <w:rPr>
          <w:rFonts w:ascii="Times New Roman" w:hAnsi="Times New Roman"/>
          <w:sz w:val="26"/>
          <w:szCs w:val="26"/>
        </w:rPr>
        <w:t xml:space="preserve"> УФАС России и впредь будут осуществляться действия по выработке единообразного понимания и </w:t>
      </w:r>
      <w:proofErr w:type="spellStart"/>
      <w:r>
        <w:rPr>
          <w:rFonts w:ascii="Times New Roman" w:hAnsi="Times New Roman"/>
          <w:sz w:val="26"/>
          <w:szCs w:val="26"/>
        </w:rPr>
        <w:t>правоприменения</w:t>
      </w:r>
      <w:proofErr w:type="spellEnd"/>
      <w:r>
        <w:rPr>
          <w:rFonts w:ascii="Times New Roman" w:hAnsi="Times New Roman"/>
          <w:sz w:val="26"/>
          <w:szCs w:val="26"/>
        </w:rPr>
        <w:t xml:space="preserve"> контрольными,  надзорными и судебными органами норм действующего законодательства в указанной сфере.</w:t>
      </w:r>
    </w:p>
    <w:p w:rsidR="00F23D45" w:rsidRPr="00F23D45" w:rsidRDefault="00F23D45" w:rsidP="00F23D45">
      <w:pPr>
        <w:jc w:val="both"/>
        <w:rPr>
          <w:rFonts w:ascii="Times New Roman" w:hAnsi="Times New Roman"/>
          <w:i/>
          <w:sz w:val="26"/>
          <w:szCs w:val="26"/>
        </w:rPr>
      </w:pPr>
      <w:proofErr w:type="gramStart"/>
      <w:r w:rsidRPr="00F23D45">
        <w:rPr>
          <w:rFonts w:ascii="Times New Roman" w:hAnsi="Times New Roman"/>
          <w:i/>
          <w:sz w:val="26"/>
          <w:szCs w:val="26"/>
        </w:rPr>
        <w:t>Владимирское</w:t>
      </w:r>
      <w:proofErr w:type="gramEnd"/>
      <w:r w:rsidRPr="00F23D45">
        <w:rPr>
          <w:rFonts w:ascii="Times New Roman" w:hAnsi="Times New Roman"/>
          <w:i/>
          <w:sz w:val="26"/>
          <w:szCs w:val="26"/>
        </w:rPr>
        <w:t xml:space="preserve"> УФАС России</w:t>
      </w:r>
    </w:p>
    <w:p w:rsidR="00D60425" w:rsidRDefault="00D60425"/>
    <w:sectPr w:rsidR="00D60425" w:rsidSect="0072682D">
      <w:footerReference w:type="default" r:id="rI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1D" w:rsidRDefault="00F23D45">
    <w:pPr>
      <w:pStyle w:val="a4"/>
      <w:jc w:val="center"/>
    </w:pPr>
    <w:r>
      <w:fldChar w:fldCharType="begin"/>
    </w:r>
    <w:r>
      <w:instrText xml:space="preserve"> PAGE   \* MERGEFORMAT </w:instrText>
    </w:r>
    <w:r>
      <w:fldChar w:fldCharType="separate"/>
    </w:r>
    <w:r>
      <w:rPr>
        <w:noProof/>
      </w:rPr>
      <w:t>5</w:t>
    </w:r>
    <w:r>
      <w:fldChar w:fldCharType="end"/>
    </w:r>
  </w:p>
  <w:p w:rsidR="0005701D" w:rsidRDefault="00F23D45">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D45"/>
    <w:rsid w:val="00D60425"/>
    <w:rsid w:val="00F23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D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3D45"/>
    <w:rPr>
      <w:color w:val="0000FF"/>
      <w:u w:val="single"/>
    </w:rPr>
  </w:style>
  <w:style w:type="paragraph" w:styleId="a4">
    <w:name w:val="footer"/>
    <w:basedOn w:val="a"/>
    <w:link w:val="a5"/>
    <w:uiPriority w:val="99"/>
    <w:unhideWhenUsed/>
    <w:rsid w:val="00F23D45"/>
    <w:pPr>
      <w:tabs>
        <w:tab w:val="center" w:pos="4677"/>
        <w:tab w:val="right" w:pos="9355"/>
      </w:tabs>
    </w:pPr>
  </w:style>
  <w:style w:type="character" w:customStyle="1" w:styleId="a5">
    <w:name w:val="Нижний колонтитул Знак"/>
    <w:basedOn w:val="a0"/>
    <w:link w:val="a4"/>
    <w:uiPriority w:val="99"/>
    <w:rsid w:val="00F23D45"/>
    <w:rPr>
      <w:rFonts w:ascii="Calibri" w:eastAsia="Calibri" w:hAnsi="Calibri" w:cs="Times New Roman"/>
    </w:rPr>
  </w:style>
  <w:style w:type="paragraph" w:styleId="a6">
    <w:name w:val="Balloon Text"/>
    <w:basedOn w:val="a"/>
    <w:link w:val="a7"/>
    <w:uiPriority w:val="99"/>
    <w:semiHidden/>
    <w:unhideWhenUsed/>
    <w:rsid w:val="00F23D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3D4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zakupk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hyperlink" Target="http://www.zakupki.gov.ru" TargetMode="Externa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4334975369458129E-2"/>
          <c:y val="3.8461538461538464E-2"/>
          <c:w val="0.87027914614121515"/>
          <c:h val="0.52884615384615363"/>
        </c:manualLayout>
      </c:layout>
      <c:bar3DChart>
        <c:barDir val="col"/>
        <c:grouping val="clustered"/>
        <c:ser>
          <c:idx val="0"/>
          <c:order val="0"/>
          <c:tx>
            <c:strRef>
              <c:f>Sheet1!$A$2</c:f>
              <c:strCache>
                <c:ptCount val="1"/>
                <c:pt idx="0">
                  <c:v>2012</c:v>
                </c:pt>
              </c:strCache>
            </c:strRef>
          </c:tx>
          <c:spPr>
            <a:solidFill>
              <a:srgbClr val="9999FF"/>
            </a:solidFill>
            <a:ln w="12700">
              <a:solidFill>
                <a:srgbClr val="000000"/>
              </a:solidFill>
              <a:prstDash val="solid"/>
            </a:ln>
          </c:spPr>
          <c:cat>
            <c:strRef>
              <c:f>Sheet1!$B$1:$G$1</c:f>
              <c:strCache>
                <c:ptCount val="6"/>
                <c:pt idx="0">
                  <c:v>поступило жалоб</c:v>
                </c:pt>
                <c:pt idx="1">
                  <c:v>рассмотрено жалоб</c:v>
                </c:pt>
                <c:pt idx="2">
                  <c:v>признано обоснованными</c:v>
                </c:pt>
                <c:pt idx="3">
                  <c:v>признано необоснованными</c:v>
                </c:pt>
                <c:pt idx="4">
                  <c:v>жалобы, отозванные заявителем</c:v>
                </c:pt>
                <c:pt idx="5">
                  <c:v>Возвращенные жалобы</c:v>
                </c:pt>
              </c:strCache>
            </c:strRef>
          </c:cat>
          <c:val>
            <c:numRef>
              <c:f>Sheet1!$B$2:$G$2</c:f>
              <c:numCache>
                <c:formatCode>General</c:formatCode>
                <c:ptCount val="6"/>
                <c:pt idx="0">
                  <c:v>306</c:v>
                </c:pt>
                <c:pt idx="1">
                  <c:v>253</c:v>
                </c:pt>
                <c:pt idx="2">
                  <c:v>73</c:v>
                </c:pt>
                <c:pt idx="3">
                  <c:v>180</c:v>
                </c:pt>
                <c:pt idx="4">
                  <c:v>21</c:v>
                </c:pt>
                <c:pt idx="5">
                  <c:v>33</c:v>
                </c:pt>
              </c:numCache>
            </c:numRef>
          </c:val>
        </c:ser>
        <c:ser>
          <c:idx val="1"/>
          <c:order val="1"/>
          <c:tx>
            <c:strRef>
              <c:f>Sheet1!$A$3</c:f>
              <c:strCache>
                <c:ptCount val="1"/>
                <c:pt idx="0">
                  <c:v>2013</c:v>
                </c:pt>
              </c:strCache>
            </c:strRef>
          </c:tx>
          <c:spPr>
            <a:solidFill>
              <a:srgbClr val="993366"/>
            </a:solidFill>
            <a:ln w="12700">
              <a:solidFill>
                <a:srgbClr val="000000"/>
              </a:solidFill>
              <a:prstDash val="solid"/>
            </a:ln>
          </c:spPr>
          <c:cat>
            <c:strRef>
              <c:f>Sheet1!$B$1:$G$1</c:f>
              <c:strCache>
                <c:ptCount val="6"/>
                <c:pt idx="0">
                  <c:v>поступило жалоб</c:v>
                </c:pt>
                <c:pt idx="1">
                  <c:v>рассмотрено жалоб</c:v>
                </c:pt>
                <c:pt idx="2">
                  <c:v>признано обоснованными</c:v>
                </c:pt>
                <c:pt idx="3">
                  <c:v>признано необоснованными</c:v>
                </c:pt>
                <c:pt idx="4">
                  <c:v>жалобы, отозванные заявителем</c:v>
                </c:pt>
                <c:pt idx="5">
                  <c:v>Возвращенные жалобы</c:v>
                </c:pt>
              </c:strCache>
            </c:strRef>
          </c:cat>
          <c:val>
            <c:numRef>
              <c:f>Sheet1!$B$3:$G$3</c:f>
              <c:numCache>
                <c:formatCode>General</c:formatCode>
                <c:ptCount val="6"/>
                <c:pt idx="0">
                  <c:v>323</c:v>
                </c:pt>
                <c:pt idx="1">
                  <c:v>231</c:v>
                </c:pt>
                <c:pt idx="2">
                  <c:v>47</c:v>
                </c:pt>
                <c:pt idx="3">
                  <c:v>184</c:v>
                </c:pt>
                <c:pt idx="4">
                  <c:v>28</c:v>
                </c:pt>
                <c:pt idx="5">
                  <c:v>64</c:v>
                </c:pt>
              </c:numCache>
            </c:numRef>
          </c:val>
        </c:ser>
        <c:gapDepth val="0"/>
        <c:shape val="box"/>
        <c:axId val="72050176"/>
        <c:axId val="72078080"/>
        <c:axId val="0"/>
      </c:bar3DChart>
      <c:catAx>
        <c:axId val="72050176"/>
        <c:scaling>
          <c:orientation val="minMax"/>
        </c:scaling>
        <c:axPos val="b"/>
        <c:numFmt formatCode="General" sourceLinked="1"/>
        <c:tickLblPos val="low"/>
        <c:spPr>
          <a:ln w="3175">
            <a:solidFill>
              <a:srgbClr val="000000"/>
            </a:solidFill>
            <a:prstDash val="solid"/>
          </a:ln>
        </c:spPr>
        <c:txPr>
          <a:bodyPr rot="-5400000" vert="horz"/>
          <a:lstStyle/>
          <a:p>
            <a:pPr>
              <a:defRPr sz="750" b="1" i="0" u="none" strike="noStrike" baseline="0">
                <a:solidFill>
                  <a:srgbClr val="000000"/>
                </a:solidFill>
                <a:latin typeface="Times New Roman"/>
                <a:ea typeface="Times New Roman"/>
                <a:cs typeface="Times New Roman"/>
              </a:defRPr>
            </a:pPr>
            <a:endParaRPr lang="ru-RU"/>
          </a:p>
        </c:txPr>
        <c:crossAx val="72078080"/>
        <c:crosses val="autoZero"/>
        <c:auto val="1"/>
        <c:lblAlgn val="ctr"/>
        <c:lblOffset val="100"/>
        <c:tickLblSkip val="1"/>
        <c:tickMarkSkip val="1"/>
      </c:catAx>
      <c:valAx>
        <c:axId val="720780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Times New Roman"/>
                <a:ea typeface="Times New Roman"/>
                <a:cs typeface="Times New Roman"/>
              </a:defRPr>
            </a:pPr>
            <a:endParaRPr lang="ru-RU"/>
          </a:p>
        </c:txPr>
        <c:crossAx val="72050176"/>
        <c:crosses val="autoZero"/>
        <c:crossBetween val="between"/>
      </c:valAx>
      <c:spPr>
        <a:noFill/>
        <a:ln w="25400">
          <a:noFill/>
        </a:ln>
      </c:spPr>
    </c:plotArea>
    <c:legend>
      <c:legendPos val="r"/>
      <c:layout>
        <c:manualLayout>
          <c:xMode val="edge"/>
          <c:yMode val="edge"/>
          <c:x val="0.9211822660098522"/>
          <c:y val="0.39903846153846179"/>
          <c:w val="7.2249589490968796E-2"/>
          <c:h val="0.19711538461538466"/>
        </c:manualLayout>
      </c:layout>
      <c:spPr>
        <a:noFill/>
        <a:ln w="3175">
          <a:solidFill>
            <a:srgbClr val="000000"/>
          </a:solidFill>
          <a:prstDash val="solid"/>
        </a:ln>
      </c:spPr>
      <c:txPr>
        <a:bodyPr/>
        <a:lstStyle/>
        <a:p>
          <a:pPr>
            <a:defRPr sz="85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925" b="1" i="0" u="none" strike="noStrike" baseline="0">
          <a:solidFill>
            <a:srgbClr val="000000"/>
          </a:solidFill>
          <a:latin typeface="Times New Roman"/>
          <a:ea typeface="Times New Roman"/>
          <a:cs typeface="Times New Roman"/>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2.8776978417266206E-2"/>
          <c:y val="5.9701492537313466E-2"/>
          <c:w val="0.8848920863309353"/>
          <c:h val="0.68656716417910446"/>
        </c:manualLayout>
      </c:layout>
      <c:bar3DChart>
        <c:barDir val="col"/>
        <c:grouping val="clustered"/>
        <c:ser>
          <c:idx val="0"/>
          <c:order val="0"/>
          <c:tx>
            <c:strRef>
              <c:f>Sheet1!$A$2</c:f>
              <c:strCache>
                <c:ptCount val="1"/>
                <c:pt idx="0">
                  <c:v>2012</c:v>
                </c:pt>
              </c:strCache>
            </c:strRef>
          </c:tx>
          <c:spPr>
            <a:solidFill>
              <a:srgbClr val="9999FF"/>
            </a:solidFill>
            <a:ln w="12700">
              <a:solidFill>
                <a:srgbClr val="000000"/>
              </a:solidFill>
              <a:prstDash val="solid"/>
            </a:ln>
          </c:spPr>
          <c:cat>
            <c:strRef>
              <c:f>Sheet1!$B$1:$E$1</c:f>
              <c:strCache>
                <c:ptCount val="3"/>
                <c:pt idx="0">
                  <c:v>количество поступивших обращений</c:v>
                </c:pt>
                <c:pt idx="2">
                  <c:v>количество лиц, сведения о которых внесены в РНП</c:v>
                </c:pt>
              </c:strCache>
            </c:strRef>
          </c:cat>
          <c:val>
            <c:numRef>
              <c:f>Sheet1!$B$2:$E$2</c:f>
              <c:numCache>
                <c:formatCode>General</c:formatCode>
                <c:ptCount val="4"/>
                <c:pt idx="0">
                  <c:v>59</c:v>
                </c:pt>
                <c:pt idx="2">
                  <c:v>17</c:v>
                </c:pt>
              </c:numCache>
            </c:numRef>
          </c:val>
        </c:ser>
        <c:ser>
          <c:idx val="1"/>
          <c:order val="1"/>
          <c:tx>
            <c:strRef>
              <c:f>Sheet1!$A$3</c:f>
              <c:strCache>
                <c:ptCount val="1"/>
                <c:pt idx="0">
                  <c:v>2013</c:v>
                </c:pt>
              </c:strCache>
            </c:strRef>
          </c:tx>
          <c:spPr>
            <a:solidFill>
              <a:srgbClr val="993366"/>
            </a:solidFill>
            <a:ln w="12700">
              <a:solidFill>
                <a:srgbClr val="000000"/>
              </a:solidFill>
              <a:prstDash val="solid"/>
            </a:ln>
          </c:spPr>
          <c:cat>
            <c:strRef>
              <c:f>Sheet1!$B$1:$E$1</c:f>
              <c:strCache>
                <c:ptCount val="3"/>
                <c:pt idx="0">
                  <c:v>количество поступивших обращений</c:v>
                </c:pt>
                <c:pt idx="2">
                  <c:v>количество лиц, сведения о которых внесены в РНП</c:v>
                </c:pt>
              </c:strCache>
            </c:strRef>
          </c:cat>
          <c:val>
            <c:numRef>
              <c:f>Sheet1!$B$3:$E$3</c:f>
              <c:numCache>
                <c:formatCode>General</c:formatCode>
                <c:ptCount val="4"/>
                <c:pt idx="0">
                  <c:v>52</c:v>
                </c:pt>
                <c:pt idx="2">
                  <c:v>25</c:v>
                </c:pt>
              </c:numCache>
            </c:numRef>
          </c:val>
        </c:ser>
        <c:gapDepth val="0"/>
        <c:shape val="box"/>
        <c:axId val="73884800"/>
        <c:axId val="75869568"/>
        <c:axId val="0"/>
      </c:bar3DChart>
      <c:catAx>
        <c:axId val="73884800"/>
        <c:scaling>
          <c:orientation val="minMax"/>
        </c:scaling>
        <c:axPos val="b"/>
        <c:numFmt formatCode="General" sourceLinked="1"/>
        <c:tickLblPos val="low"/>
        <c:spPr>
          <a:ln w="3175">
            <a:solidFill>
              <a:srgbClr val="000000"/>
            </a:solidFill>
            <a:prstDash val="solid"/>
          </a:ln>
        </c:spPr>
        <c:txPr>
          <a:bodyPr rot="0" vert="horz"/>
          <a:lstStyle/>
          <a:p>
            <a:pPr>
              <a:defRPr sz="700" b="1" i="0" u="none" strike="noStrike" baseline="0">
                <a:solidFill>
                  <a:srgbClr val="000000"/>
                </a:solidFill>
                <a:latin typeface="Times New Roman"/>
                <a:ea typeface="Times New Roman"/>
                <a:cs typeface="Times New Roman"/>
              </a:defRPr>
            </a:pPr>
            <a:endParaRPr lang="ru-RU"/>
          </a:p>
        </c:txPr>
        <c:crossAx val="75869568"/>
        <c:crosses val="autoZero"/>
        <c:auto val="1"/>
        <c:lblAlgn val="ctr"/>
        <c:lblOffset val="100"/>
        <c:tickLblSkip val="1"/>
        <c:tickMarkSkip val="1"/>
      </c:catAx>
      <c:valAx>
        <c:axId val="758695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700" b="1" i="0" u="none" strike="noStrike" baseline="0">
                <a:solidFill>
                  <a:srgbClr val="000000"/>
                </a:solidFill>
                <a:latin typeface="Times New Roman"/>
                <a:ea typeface="Times New Roman"/>
                <a:cs typeface="Times New Roman"/>
              </a:defRPr>
            </a:pPr>
            <a:endParaRPr lang="ru-RU"/>
          </a:p>
        </c:txPr>
        <c:crossAx val="73884800"/>
        <c:crosses val="autoZero"/>
        <c:crossBetween val="between"/>
      </c:valAx>
      <c:spPr>
        <a:noFill/>
        <a:ln w="25400">
          <a:noFill/>
        </a:ln>
      </c:spPr>
    </c:plotArea>
    <c:legend>
      <c:legendPos val="r"/>
      <c:layout>
        <c:manualLayout>
          <c:xMode val="edge"/>
          <c:yMode val="edge"/>
          <c:x val="0.92625899280575541"/>
          <c:y val="0.40796019900497532"/>
          <c:w val="6.654676258992806E-2"/>
          <c:h val="0.18407960199004975"/>
        </c:manualLayout>
      </c:layout>
      <c:spPr>
        <a:noFill/>
        <a:ln w="3175">
          <a:solidFill>
            <a:srgbClr val="000000"/>
          </a:solidFill>
          <a:prstDash val="solid"/>
        </a:ln>
      </c:spPr>
      <c:txPr>
        <a:bodyPr/>
        <a:lstStyle/>
        <a:p>
          <a:pPr>
            <a:defRPr sz="64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700" b="1" i="0" u="none" strike="noStrike" baseline="0">
          <a:solidFill>
            <a:srgbClr val="000000"/>
          </a:solidFill>
          <a:latin typeface="Times New Roman"/>
          <a:ea typeface="Times New Roman"/>
          <a:cs typeface="Times New Roman"/>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1471</Words>
  <Characters>8389</Characters>
  <Application>Microsoft Office Word</Application>
  <DocSecurity>0</DocSecurity>
  <Lines>69</Lines>
  <Paragraphs>19</Paragraphs>
  <ScaleCrop>false</ScaleCrop>
  <Company>Microsoft</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to33-korobov</dc:creator>
  <cp:lastModifiedBy>to33-korobov</cp:lastModifiedBy>
  <cp:revision>1</cp:revision>
  <dcterms:created xsi:type="dcterms:W3CDTF">2014-01-27T10:47:00Z</dcterms:created>
  <dcterms:modified xsi:type="dcterms:W3CDTF">2014-01-27T10:49:00Z</dcterms:modified>
</cp:coreProperties>
</file>